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4AE46" w14:textId="77777777" w:rsidR="00D7799D" w:rsidRPr="00DB3A97" w:rsidRDefault="00D7799D" w:rsidP="00D7799D">
      <w:pPr>
        <w:pStyle w:val="Syllabusname"/>
        <w:rPr>
          <w:u w:val="single"/>
        </w:rPr>
      </w:pPr>
      <w:bookmarkStart w:id="0" w:name="_Toc297191698"/>
      <w:bookmarkStart w:id="1" w:name="_Toc485422441"/>
      <w:r w:rsidRPr="00820424">
        <w:t>ECHE 300 Chemical Process Principles</w:t>
      </w:r>
      <w:bookmarkEnd w:id="0"/>
      <w:bookmarkEnd w:id="1"/>
    </w:p>
    <w:p w14:paraId="0C6E78E4" w14:textId="77777777" w:rsidR="00D7799D" w:rsidRPr="00DB3A97" w:rsidRDefault="00D7799D" w:rsidP="00D7799D">
      <w:pPr>
        <w:pStyle w:val="Syllabustext"/>
      </w:pPr>
    </w:p>
    <w:p w14:paraId="052084EB" w14:textId="77777777" w:rsidR="00D7799D" w:rsidRPr="00DB3A97" w:rsidRDefault="00D7799D" w:rsidP="00D7799D">
      <w:pPr>
        <w:pStyle w:val="Syllabussectiontitle"/>
      </w:pPr>
      <w:r w:rsidRPr="00DB3A97">
        <w:t>Credits and contact hours</w:t>
      </w:r>
    </w:p>
    <w:p w14:paraId="4B97E6CA" w14:textId="77777777" w:rsidR="00D7799D" w:rsidRPr="00DB3A97" w:rsidRDefault="00D7799D" w:rsidP="00D7799D">
      <w:pPr>
        <w:pStyle w:val="Syllabustext"/>
      </w:pPr>
      <w:r>
        <w:t>Credits: 3. Contact hours: Two 50-minute lecture periods and one three-</w:t>
      </w:r>
      <w:r w:rsidRPr="006207A7">
        <w:t>hour pe</w:t>
      </w:r>
      <w:r>
        <w:t>riod devoted to problem solving per week.</w:t>
      </w:r>
    </w:p>
    <w:p w14:paraId="1D7DAECC" w14:textId="77777777" w:rsidR="00D7799D" w:rsidRPr="00DB3A97" w:rsidRDefault="00D7799D" w:rsidP="00D7799D">
      <w:pPr>
        <w:pStyle w:val="Syllabussectiontitle"/>
      </w:pPr>
      <w:r w:rsidRPr="00DB3A97">
        <w:t>Instructor’s or course coordinator’s name</w:t>
      </w:r>
    </w:p>
    <w:p w14:paraId="79A792A9" w14:textId="5E6445B4" w:rsidR="00D7799D" w:rsidRPr="00DB3A97" w:rsidRDefault="00D7799D" w:rsidP="00D7799D">
      <w:pPr>
        <w:pStyle w:val="Syllabustext"/>
      </w:pPr>
      <w:r w:rsidRPr="00820424">
        <w:t xml:space="preserve">ECHE 300/310/311 </w:t>
      </w:r>
      <w:r>
        <w:t>Working</w:t>
      </w:r>
      <w:r w:rsidR="003A1836">
        <w:t xml:space="preserve"> Group</w:t>
      </w:r>
    </w:p>
    <w:p w14:paraId="2CB25355" w14:textId="77777777" w:rsidR="00D7799D" w:rsidRDefault="00D7799D" w:rsidP="00D7799D">
      <w:pPr>
        <w:pStyle w:val="Syllabussectiontitle"/>
      </w:pPr>
      <w:r w:rsidRPr="00DB3A97">
        <w:t xml:space="preserve">Text </w:t>
      </w:r>
      <w:r>
        <w:t>b</w:t>
      </w:r>
      <w:r w:rsidRPr="00DB3A97">
        <w:t xml:space="preserve">ook, </w:t>
      </w:r>
      <w:r>
        <w:t>t</w:t>
      </w:r>
      <w:r w:rsidRPr="00DB3A97">
        <w:t xml:space="preserve">itle, </w:t>
      </w:r>
      <w:r>
        <w:t>a</w:t>
      </w:r>
      <w:r w:rsidRPr="00DB3A97">
        <w:t>utho</w:t>
      </w:r>
      <w:r>
        <w:t>r,</w:t>
      </w:r>
      <w:r w:rsidRPr="00DB3A97">
        <w:t xml:space="preserve"> and </w:t>
      </w:r>
      <w:r>
        <w:t>y</w:t>
      </w:r>
      <w:r w:rsidRPr="00DB3A97">
        <w:t>ear</w:t>
      </w:r>
    </w:p>
    <w:p w14:paraId="5033BA1F" w14:textId="77777777" w:rsidR="00D7799D" w:rsidRPr="006207A7" w:rsidRDefault="00D7799D" w:rsidP="00D7799D">
      <w:pPr>
        <w:pStyle w:val="Syllabustext"/>
      </w:pPr>
      <w:r w:rsidRPr="006207A7">
        <w:rPr>
          <w:i/>
        </w:rPr>
        <w:t xml:space="preserve">Elementary Principles of Chemical Processes, </w:t>
      </w:r>
      <w:r>
        <w:rPr>
          <w:i/>
        </w:rPr>
        <w:t>Third</w:t>
      </w:r>
      <w:r w:rsidRPr="006207A7">
        <w:rPr>
          <w:i/>
        </w:rPr>
        <w:t xml:space="preserve"> Edition</w:t>
      </w:r>
      <w:r w:rsidRPr="006207A7">
        <w:t xml:space="preserve"> </w:t>
      </w:r>
      <w:r>
        <w:t xml:space="preserve">by </w:t>
      </w:r>
      <w:r w:rsidRPr="006207A7">
        <w:t>Richard M.</w:t>
      </w:r>
      <w:r>
        <w:t xml:space="preserve"> Felder and Ronald W. Rousseau, John Wiley &amp; Sons, 2005</w:t>
      </w:r>
      <w:r w:rsidRPr="006207A7">
        <w:t>.</w:t>
      </w:r>
    </w:p>
    <w:p w14:paraId="6B7813B9" w14:textId="77777777" w:rsidR="00D7799D" w:rsidRPr="000D5BC5" w:rsidRDefault="00D7799D" w:rsidP="00D7799D">
      <w:pPr>
        <w:pStyle w:val="Syllabussubsectiontitle"/>
      </w:pPr>
      <w:r w:rsidRPr="000D5BC5">
        <w:t>a. Other supplemental materials</w:t>
      </w:r>
    </w:p>
    <w:p w14:paraId="78997F96" w14:textId="77777777" w:rsidR="00D7799D" w:rsidRPr="00DB3A97" w:rsidRDefault="00D7799D" w:rsidP="00D7799D">
      <w:pPr>
        <w:pStyle w:val="Syllabustext"/>
      </w:pPr>
      <w:r>
        <w:t>None</w:t>
      </w:r>
    </w:p>
    <w:p w14:paraId="33C0A689" w14:textId="77777777" w:rsidR="00D7799D" w:rsidRPr="00DB3A97" w:rsidRDefault="00D7799D" w:rsidP="00D7799D">
      <w:pPr>
        <w:pStyle w:val="Syllabussectiontitle"/>
      </w:pPr>
      <w:r w:rsidRPr="00DB3A97">
        <w:t>Specific course information</w:t>
      </w:r>
    </w:p>
    <w:p w14:paraId="00C1B828" w14:textId="77777777" w:rsidR="00D7799D" w:rsidRDefault="00D7799D" w:rsidP="00D7799D">
      <w:pPr>
        <w:pStyle w:val="Syllabussubsectiontitle"/>
      </w:pPr>
      <w:r>
        <w:t>a. B</w:t>
      </w:r>
      <w:r w:rsidRPr="00DB3A97">
        <w:t>rief description of the content of the course (</w:t>
      </w:r>
      <w:r>
        <w:t>c</w:t>
      </w:r>
      <w:r w:rsidRPr="00DB3A97">
        <w:t xml:space="preserve">atalog </w:t>
      </w:r>
      <w:r>
        <w:t>d</w:t>
      </w:r>
      <w:r w:rsidRPr="00DB3A97">
        <w:t>escription)</w:t>
      </w:r>
    </w:p>
    <w:p w14:paraId="22C2769A" w14:textId="77777777" w:rsidR="00D7799D" w:rsidRDefault="00D7799D" w:rsidP="00D7799D">
      <w:pPr>
        <w:pStyle w:val="Syllabustext"/>
      </w:pPr>
      <w:r w:rsidRPr="006207A7">
        <w:t>Material and energy balances in the chemical process industry. Properties of gase</w:t>
      </w:r>
      <w:r>
        <w:t>s, liquids, and solids. Note: Two one-hour lectures and one three-</w:t>
      </w:r>
      <w:r w:rsidRPr="006207A7">
        <w:t>hour laboratory period devoted to problem solving.</w:t>
      </w:r>
    </w:p>
    <w:p w14:paraId="194CC1E6" w14:textId="77777777" w:rsidR="00D7799D" w:rsidRPr="000D5BC5" w:rsidRDefault="00D7799D" w:rsidP="00D7799D">
      <w:pPr>
        <w:pStyle w:val="Syllabussubsectiontitle"/>
      </w:pPr>
      <w:r>
        <w:t>b. P</w:t>
      </w:r>
      <w:r w:rsidRPr="00DB3A97">
        <w:t>rerequisites or co-requisites</w:t>
      </w:r>
    </w:p>
    <w:p w14:paraId="30B74C44" w14:textId="77777777" w:rsidR="00D7799D" w:rsidRDefault="00D7799D" w:rsidP="00D7799D">
      <w:pPr>
        <w:pStyle w:val="Syllabustext"/>
      </w:pPr>
      <w:r>
        <w:t>Prerequisites: MATH 141 Calculus I</w:t>
      </w:r>
    </w:p>
    <w:p w14:paraId="02F59546" w14:textId="77777777" w:rsidR="00D7799D" w:rsidRDefault="00D7799D" w:rsidP="00D7799D">
      <w:pPr>
        <w:pStyle w:val="Syllabustext"/>
      </w:pPr>
      <w:r>
        <w:t>Prerequisite or co-requisite: CHEM 112 General Chemistry II</w:t>
      </w:r>
    </w:p>
    <w:p w14:paraId="226C61FB" w14:textId="77777777" w:rsidR="00D7799D" w:rsidRPr="00DB3A97" w:rsidRDefault="00D7799D" w:rsidP="00D7799D">
      <w:pPr>
        <w:pStyle w:val="Syllabussubsectiontitle"/>
      </w:pPr>
      <w:r>
        <w:t xml:space="preserve">c. Indicate </w:t>
      </w:r>
      <w:r w:rsidRPr="00DB3A97">
        <w:t>whether a required, elective, or selected elective (as per Table 5-1) course in the program</w:t>
      </w:r>
    </w:p>
    <w:p w14:paraId="32F79737" w14:textId="77777777" w:rsidR="00D7799D" w:rsidRPr="00DB3A97" w:rsidRDefault="00D7799D" w:rsidP="00D7799D">
      <w:pPr>
        <w:pStyle w:val="Syllabustext"/>
      </w:pPr>
      <w:r>
        <w:t>Required</w:t>
      </w:r>
    </w:p>
    <w:p w14:paraId="5F70F494" w14:textId="77777777" w:rsidR="00D7799D" w:rsidRPr="00DB3A97" w:rsidRDefault="00D7799D" w:rsidP="00D7799D">
      <w:pPr>
        <w:pStyle w:val="Syllabussectiontitle"/>
      </w:pPr>
      <w:r w:rsidRPr="00DB3A97">
        <w:t>Specific goals for the course</w:t>
      </w:r>
    </w:p>
    <w:p w14:paraId="0B63C0ED" w14:textId="77777777" w:rsidR="00D7799D" w:rsidRDefault="00D7799D" w:rsidP="00D7799D">
      <w:pPr>
        <w:pStyle w:val="Syllabussubsectiontitle"/>
      </w:pPr>
      <w:r>
        <w:t>a. S</w:t>
      </w:r>
      <w:r w:rsidRPr="00DB3A97">
        <w:t>pecific outcomes of instruction, ex. The student will be able to explain the significance of current res</w:t>
      </w:r>
      <w:r>
        <w:t>earch about a particular topic.</w:t>
      </w:r>
    </w:p>
    <w:p w14:paraId="0CECF627" w14:textId="77777777" w:rsidR="00D7799D" w:rsidRDefault="00D7799D" w:rsidP="00D7799D">
      <w:pPr>
        <w:pStyle w:val="Syllabustext"/>
        <w:ind w:left="270" w:hanging="270"/>
      </w:pPr>
      <w:r>
        <w:t>1.</w:t>
      </w:r>
      <w:r>
        <w:tab/>
        <w:t>Students will demonstrate the ability to use and calculate process quantities important to chemical engineering unit operations (e.g., mass and mole fractions, molar and mass flow rates, volume, concentration, temperature, pressure), and convert between them using densities and the ideal gas law.</w:t>
      </w:r>
    </w:p>
    <w:p w14:paraId="79ABF687" w14:textId="77777777" w:rsidR="00D7799D" w:rsidRDefault="00D7799D" w:rsidP="00D7799D">
      <w:pPr>
        <w:pStyle w:val="Syllabustext"/>
        <w:ind w:left="270" w:hanging="270"/>
      </w:pPr>
      <w:r>
        <w:t>2.</w:t>
      </w:r>
      <w:r>
        <w:tab/>
        <w:t>Students will demonstrate the ability to formulate and solve material balances on various single (e.g., mixers, separators, reactors, etc.) and multi-unit operation systems, including those with recycle and/or bypass streams, as well as mixing and/or splitting points.</w:t>
      </w:r>
    </w:p>
    <w:p w14:paraId="551D9A5E" w14:textId="77777777" w:rsidR="00D7799D" w:rsidRDefault="00D7799D" w:rsidP="00D7799D">
      <w:pPr>
        <w:pStyle w:val="Syllabustext"/>
        <w:ind w:left="270" w:hanging="270"/>
      </w:pPr>
      <w:r>
        <w:t>3.</w:t>
      </w:r>
      <w:r>
        <w:tab/>
        <w:t xml:space="preserve">Students will demonstrate the ability to use vapor pressures and </w:t>
      </w:r>
      <w:proofErr w:type="spellStart"/>
      <w:r>
        <w:t>Raoult's</w:t>
      </w:r>
      <w:proofErr w:type="spellEnd"/>
      <w:r>
        <w:t xml:space="preserve"> Law to calculate process quantities (e.g., composition, pressure, dew point, bubble point) for ideal vapor-liquid equilibrium in multi-phase systems.</w:t>
      </w:r>
    </w:p>
    <w:p w14:paraId="6BB7F5C4" w14:textId="4C382C5A" w:rsidR="00D7799D" w:rsidRDefault="00D7799D" w:rsidP="00D7799D">
      <w:pPr>
        <w:pStyle w:val="Syllabustext"/>
        <w:ind w:left="270" w:hanging="270"/>
      </w:pPr>
      <w:r>
        <w:t>4.</w:t>
      </w:r>
      <w:r>
        <w:tab/>
        <w:t xml:space="preserve">Students will demonstrate the ability to perform energy balances </w:t>
      </w:r>
      <w:r w:rsidR="00F30BAD" w:rsidRPr="0075293C">
        <w:rPr>
          <w:rFonts w:eastAsia="Cambria"/>
        </w:rPr>
        <w:t xml:space="preserve">on typical </w:t>
      </w:r>
      <w:r w:rsidR="00F30BAD">
        <w:rPr>
          <w:rFonts w:eastAsia="Cambria"/>
        </w:rPr>
        <w:t>ideal</w:t>
      </w:r>
      <w:r w:rsidR="00F30BAD" w:rsidRPr="0075293C">
        <w:rPr>
          <w:rFonts w:eastAsia="Cambria"/>
        </w:rPr>
        <w:t xml:space="preserve"> systems</w:t>
      </w:r>
      <w:r w:rsidR="00F30BAD">
        <w:rPr>
          <w:rFonts w:eastAsia="Cambria"/>
        </w:rPr>
        <w:t>.</w:t>
      </w:r>
    </w:p>
    <w:p w14:paraId="0B5C5672" w14:textId="77777777" w:rsidR="00D7799D" w:rsidRDefault="00D7799D" w:rsidP="00D7799D">
      <w:pPr>
        <w:pStyle w:val="Syllabussubsectiontitle"/>
      </w:pPr>
    </w:p>
    <w:p w14:paraId="706CF8CD" w14:textId="77777777" w:rsidR="00D7799D" w:rsidRDefault="00D7799D" w:rsidP="00D7799D">
      <w:pPr>
        <w:pStyle w:val="Syllabussubsectiontitle"/>
      </w:pPr>
      <w:r>
        <w:t>b. E</w:t>
      </w:r>
      <w:r w:rsidRPr="00DB3A97">
        <w:t>xplicitly indicate which of the student outcomes listed in Criterion 3 or any other outcomes are addressed by the course.</w:t>
      </w:r>
    </w:p>
    <w:p w14:paraId="1F91C2D1" w14:textId="77777777" w:rsidR="00D7799D" w:rsidRDefault="00D7799D" w:rsidP="00D7799D">
      <w:pPr>
        <w:pStyle w:val="Syllabustext"/>
      </w:pPr>
      <w:r w:rsidRPr="006207A7">
        <w:t xml:space="preserve">The importance of each </w:t>
      </w:r>
      <w:r>
        <w:t>course goal</w:t>
      </w:r>
      <w:r w:rsidRPr="006207A7">
        <w:t xml:space="preserve"> to meeting the </w:t>
      </w:r>
      <w:r>
        <w:t>program outcomes</w:t>
      </w:r>
      <w:r w:rsidRPr="006207A7">
        <w:t xml:space="preserve"> is indicated with the following scale: 3 = major importance; 2 = moderate importance; 1 = minimal importance</w:t>
      </w:r>
      <w:r>
        <w:t xml:space="preserve">. </w:t>
      </w:r>
      <w:r w:rsidRPr="006207A7">
        <w:t>Blank if not related.</w:t>
      </w:r>
    </w:p>
    <w:p w14:paraId="35EB8698" w14:textId="77777777" w:rsidR="00D7799D" w:rsidRPr="006207A7" w:rsidRDefault="00D7799D" w:rsidP="00D7799D">
      <w:pPr>
        <w:pStyle w:val="Syllabustext"/>
      </w:pPr>
    </w:p>
    <w:tbl>
      <w:tblPr>
        <w:tblpPr w:leftFromText="180" w:rightFromText="180" w:vertAnchor="page" w:horzAnchor="page" w:tblpX="1400" w:tblpY="1445"/>
        <w:tblW w:w="955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4822"/>
        <w:gridCol w:w="816"/>
        <w:gridCol w:w="810"/>
        <w:gridCol w:w="810"/>
        <w:gridCol w:w="950"/>
        <w:gridCol w:w="1350"/>
      </w:tblGrid>
      <w:tr w:rsidR="00D959BF" w:rsidRPr="00D20D72" w14:paraId="62483533" w14:textId="77777777" w:rsidTr="00137F2F">
        <w:tc>
          <w:tcPr>
            <w:tcW w:w="4822" w:type="dxa"/>
            <w:vMerge w:val="restart"/>
            <w:tcMar>
              <w:left w:w="58" w:type="dxa"/>
              <w:right w:w="58" w:type="dxa"/>
            </w:tcMar>
            <w:vAlign w:val="center"/>
          </w:tcPr>
          <w:p w14:paraId="0935FB8F" w14:textId="77777777" w:rsidR="00D959BF" w:rsidRPr="001B507E" w:rsidRDefault="00D959BF" w:rsidP="00137F2F">
            <w:pPr>
              <w:widowControl w:val="0"/>
              <w:tabs>
                <w:tab w:val="left" w:pos="-1440"/>
                <w:tab w:val="left" w:pos="-720"/>
              </w:tabs>
              <w:suppressAutoHyphens/>
              <w:jc w:val="center"/>
              <w:rPr>
                <w:b/>
              </w:rPr>
            </w:pPr>
            <w:r w:rsidRPr="001B507E">
              <w:rPr>
                <w:b/>
              </w:rPr>
              <w:lastRenderedPageBreak/>
              <w:t>Program Outcomes</w:t>
            </w:r>
          </w:p>
        </w:tc>
        <w:tc>
          <w:tcPr>
            <w:tcW w:w="4736" w:type="dxa"/>
            <w:gridSpan w:val="5"/>
            <w:vAlign w:val="center"/>
          </w:tcPr>
          <w:p w14:paraId="7700519F" w14:textId="77777777" w:rsidR="00D959BF" w:rsidRPr="001B507E" w:rsidRDefault="00D959BF" w:rsidP="00137F2F">
            <w:pPr>
              <w:widowControl w:val="0"/>
              <w:tabs>
                <w:tab w:val="left" w:pos="-1440"/>
                <w:tab w:val="left" w:pos="-720"/>
              </w:tabs>
              <w:suppressAutoHyphens/>
              <w:jc w:val="center"/>
            </w:pPr>
            <w:r w:rsidRPr="001B507E">
              <w:rPr>
                <w:b/>
              </w:rPr>
              <w:t>Course Goals</w:t>
            </w:r>
          </w:p>
        </w:tc>
      </w:tr>
      <w:tr w:rsidR="00D959BF" w:rsidRPr="00D20D72" w14:paraId="6C672A8E" w14:textId="77777777" w:rsidTr="00137F2F">
        <w:tc>
          <w:tcPr>
            <w:tcW w:w="4822" w:type="dxa"/>
            <w:vMerge/>
            <w:tcMar>
              <w:left w:w="58" w:type="dxa"/>
              <w:right w:w="58" w:type="dxa"/>
            </w:tcMar>
          </w:tcPr>
          <w:p w14:paraId="072DC9DC" w14:textId="77777777" w:rsidR="00D959BF" w:rsidRPr="00D20D72" w:rsidRDefault="00D959BF" w:rsidP="00137F2F">
            <w:pPr>
              <w:widowControl w:val="0"/>
              <w:tabs>
                <w:tab w:val="left" w:pos="-1440"/>
                <w:tab w:val="left" w:pos="-720"/>
              </w:tabs>
              <w:suppressAutoHyphens/>
              <w:rPr>
                <w:sz w:val="20"/>
                <w:szCs w:val="20"/>
              </w:rPr>
            </w:pPr>
          </w:p>
        </w:tc>
        <w:tc>
          <w:tcPr>
            <w:tcW w:w="816" w:type="dxa"/>
            <w:vAlign w:val="center"/>
          </w:tcPr>
          <w:p w14:paraId="02A5B8B8" w14:textId="77777777" w:rsidR="00D959BF" w:rsidRPr="001B507E" w:rsidRDefault="00D959BF" w:rsidP="00137F2F">
            <w:pPr>
              <w:widowControl w:val="0"/>
              <w:tabs>
                <w:tab w:val="left" w:pos="-1440"/>
                <w:tab w:val="left" w:pos="-720"/>
              </w:tabs>
              <w:suppressAutoHyphens/>
              <w:jc w:val="center"/>
              <w:rPr>
                <w:b/>
              </w:rPr>
            </w:pPr>
            <w:r w:rsidRPr="001B507E">
              <w:rPr>
                <w:b/>
              </w:rPr>
              <w:t>CG1</w:t>
            </w:r>
          </w:p>
        </w:tc>
        <w:tc>
          <w:tcPr>
            <w:tcW w:w="810" w:type="dxa"/>
            <w:vAlign w:val="center"/>
          </w:tcPr>
          <w:p w14:paraId="2AAC1C5F" w14:textId="77777777" w:rsidR="00D959BF" w:rsidRPr="001B507E" w:rsidRDefault="00D959BF" w:rsidP="00137F2F">
            <w:pPr>
              <w:widowControl w:val="0"/>
              <w:tabs>
                <w:tab w:val="left" w:pos="-1440"/>
                <w:tab w:val="left" w:pos="-720"/>
              </w:tabs>
              <w:suppressAutoHyphens/>
              <w:jc w:val="center"/>
              <w:rPr>
                <w:b/>
              </w:rPr>
            </w:pPr>
            <w:r w:rsidRPr="001B507E">
              <w:rPr>
                <w:b/>
              </w:rPr>
              <w:t>CG2</w:t>
            </w:r>
          </w:p>
        </w:tc>
        <w:tc>
          <w:tcPr>
            <w:tcW w:w="810" w:type="dxa"/>
            <w:vAlign w:val="center"/>
          </w:tcPr>
          <w:p w14:paraId="27C944D4" w14:textId="77777777" w:rsidR="00D959BF" w:rsidRPr="001B507E" w:rsidRDefault="00D959BF" w:rsidP="00137F2F">
            <w:pPr>
              <w:widowControl w:val="0"/>
              <w:tabs>
                <w:tab w:val="left" w:pos="-1440"/>
                <w:tab w:val="left" w:pos="-720"/>
              </w:tabs>
              <w:suppressAutoHyphens/>
              <w:jc w:val="center"/>
              <w:rPr>
                <w:b/>
              </w:rPr>
            </w:pPr>
            <w:r w:rsidRPr="001B507E">
              <w:rPr>
                <w:b/>
              </w:rPr>
              <w:t>CG3</w:t>
            </w:r>
          </w:p>
        </w:tc>
        <w:tc>
          <w:tcPr>
            <w:tcW w:w="950" w:type="dxa"/>
            <w:vAlign w:val="center"/>
          </w:tcPr>
          <w:p w14:paraId="6F623B1A" w14:textId="77777777" w:rsidR="00D959BF" w:rsidRPr="001B507E" w:rsidRDefault="00D959BF" w:rsidP="00137F2F">
            <w:pPr>
              <w:widowControl w:val="0"/>
              <w:tabs>
                <w:tab w:val="left" w:pos="-1440"/>
                <w:tab w:val="left" w:pos="-720"/>
              </w:tabs>
              <w:suppressAutoHyphens/>
              <w:jc w:val="center"/>
              <w:rPr>
                <w:b/>
              </w:rPr>
            </w:pPr>
            <w:r w:rsidRPr="001B507E">
              <w:rPr>
                <w:b/>
              </w:rPr>
              <w:t>CG4</w:t>
            </w:r>
          </w:p>
        </w:tc>
        <w:tc>
          <w:tcPr>
            <w:tcW w:w="1350" w:type="dxa"/>
            <w:vAlign w:val="center"/>
          </w:tcPr>
          <w:p w14:paraId="2682363B" w14:textId="77777777" w:rsidR="00D959BF" w:rsidRPr="001B507E" w:rsidRDefault="00D959BF" w:rsidP="00137F2F">
            <w:pPr>
              <w:widowControl w:val="0"/>
              <w:tabs>
                <w:tab w:val="left" w:pos="-1440"/>
                <w:tab w:val="left" w:pos="-720"/>
              </w:tabs>
              <w:suppressAutoHyphens/>
              <w:jc w:val="center"/>
              <w:rPr>
                <w:b/>
              </w:rPr>
            </w:pPr>
            <w:r w:rsidRPr="001B507E">
              <w:rPr>
                <w:b/>
              </w:rPr>
              <w:t>Overall</w:t>
            </w:r>
          </w:p>
        </w:tc>
      </w:tr>
      <w:tr w:rsidR="00D959BF" w:rsidRPr="00D20D72" w14:paraId="3B25B5B8" w14:textId="77777777" w:rsidTr="00137F2F">
        <w:tc>
          <w:tcPr>
            <w:tcW w:w="4822" w:type="dxa"/>
            <w:tcMar>
              <w:left w:w="58" w:type="dxa"/>
              <w:right w:w="58" w:type="dxa"/>
            </w:tcMar>
          </w:tcPr>
          <w:p w14:paraId="4CD88179" w14:textId="77777777" w:rsidR="00D959BF" w:rsidRPr="00D20D72" w:rsidRDefault="00D959BF" w:rsidP="00137F2F">
            <w:pPr>
              <w:widowControl w:val="0"/>
              <w:tabs>
                <w:tab w:val="left" w:pos="-1440"/>
                <w:tab w:val="left" w:pos="-720"/>
              </w:tabs>
              <w:suppressAutoHyphens/>
              <w:rPr>
                <w:sz w:val="20"/>
                <w:szCs w:val="20"/>
              </w:rPr>
            </w:pPr>
            <w:r w:rsidRPr="00D20D72">
              <w:rPr>
                <w:sz w:val="20"/>
                <w:szCs w:val="20"/>
              </w:rPr>
              <w:t xml:space="preserve">1. Ability </w:t>
            </w:r>
            <w:r w:rsidRPr="007F2DE1">
              <w:rPr>
                <w:sz w:val="20"/>
                <w:szCs w:val="20"/>
              </w:rPr>
              <w:t>to identif</w:t>
            </w:r>
            <w:r>
              <w:rPr>
                <w:sz w:val="20"/>
                <w:szCs w:val="20"/>
              </w:rPr>
              <w:t xml:space="preserve">y, formulate, and solve complex </w:t>
            </w:r>
            <w:r w:rsidRPr="007F2DE1">
              <w:rPr>
                <w:sz w:val="20"/>
                <w:szCs w:val="20"/>
              </w:rPr>
              <w:t>engineering pro</w:t>
            </w:r>
            <w:r>
              <w:rPr>
                <w:sz w:val="20"/>
                <w:szCs w:val="20"/>
              </w:rPr>
              <w:t xml:space="preserve">blems by applying principles of </w:t>
            </w:r>
            <w:r w:rsidRPr="007F2DE1">
              <w:rPr>
                <w:sz w:val="20"/>
                <w:szCs w:val="20"/>
              </w:rPr>
              <w:t>engineering, science, and mathematics</w:t>
            </w:r>
          </w:p>
        </w:tc>
        <w:tc>
          <w:tcPr>
            <w:tcW w:w="816" w:type="dxa"/>
          </w:tcPr>
          <w:p w14:paraId="28EBCA69" w14:textId="77777777" w:rsidR="00D959BF" w:rsidRPr="00D20D72" w:rsidRDefault="00D959BF" w:rsidP="00137F2F">
            <w:pPr>
              <w:widowControl w:val="0"/>
              <w:tabs>
                <w:tab w:val="left" w:pos="-1440"/>
                <w:tab w:val="left" w:pos="-720"/>
              </w:tabs>
              <w:suppressAutoHyphens/>
              <w:jc w:val="center"/>
              <w:rPr>
                <w:sz w:val="20"/>
                <w:szCs w:val="20"/>
              </w:rPr>
            </w:pPr>
            <w:r>
              <w:rPr>
                <w:sz w:val="20"/>
                <w:szCs w:val="20"/>
              </w:rPr>
              <w:t>3</w:t>
            </w:r>
          </w:p>
        </w:tc>
        <w:tc>
          <w:tcPr>
            <w:tcW w:w="810" w:type="dxa"/>
          </w:tcPr>
          <w:p w14:paraId="78C0F49C" w14:textId="77777777" w:rsidR="00D959BF" w:rsidRPr="00D20D72" w:rsidRDefault="00D959BF" w:rsidP="00137F2F">
            <w:pPr>
              <w:widowControl w:val="0"/>
              <w:tabs>
                <w:tab w:val="left" w:pos="-1440"/>
                <w:tab w:val="left" w:pos="-720"/>
              </w:tabs>
              <w:suppressAutoHyphens/>
              <w:jc w:val="center"/>
              <w:rPr>
                <w:sz w:val="20"/>
                <w:szCs w:val="20"/>
              </w:rPr>
            </w:pPr>
            <w:r>
              <w:rPr>
                <w:sz w:val="20"/>
                <w:szCs w:val="20"/>
              </w:rPr>
              <w:t>3</w:t>
            </w:r>
          </w:p>
        </w:tc>
        <w:tc>
          <w:tcPr>
            <w:tcW w:w="810" w:type="dxa"/>
          </w:tcPr>
          <w:p w14:paraId="1D74F60A" w14:textId="77777777" w:rsidR="00D959BF" w:rsidRPr="00D20D72" w:rsidRDefault="00D959BF" w:rsidP="00137F2F">
            <w:pPr>
              <w:widowControl w:val="0"/>
              <w:tabs>
                <w:tab w:val="left" w:pos="-1440"/>
                <w:tab w:val="left" w:pos="-720"/>
              </w:tabs>
              <w:suppressAutoHyphens/>
              <w:jc w:val="center"/>
              <w:rPr>
                <w:sz w:val="20"/>
                <w:szCs w:val="20"/>
              </w:rPr>
            </w:pPr>
            <w:r>
              <w:rPr>
                <w:sz w:val="20"/>
                <w:szCs w:val="20"/>
              </w:rPr>
              <w:t>3</w:t>
            </w:r>
          </w:p>
        </w:tc>
        <w:tc>
          <w:tcPr>
            <w:tcW w:w="950" w:type="dxa"/>
          </w:tcPr>
          <w:p w14:paraId="2B0FB0BB" w14:textId="77777777" w:rsidR="00D959BF" w:rsidRPr="00D20D72" w:rsidRDefault="00D959BF" w:rsidP="00137F2F">
            <w:pPr>
              <w:widowControl w:val="0"/>
              <w:tabs>
                <w:tab w:val="left" w:pos="-1440"/>
                <w:tab w:val="left" w:pos="-720"/>
              </w:tabs>
              <w:suppressAutoHyphens/>
              <w:jc w:val="center"/>
              <w:rPr>
                <w:sz w:val="20"/>
                <w:szCs w:val="20"/>
              </w:rPr>
            </w:pPr>
            <w:r>
              <w:rPr>
                <w:sz w:val="20"/>
                <w:szCs w:val="20"/>
              </w:rPr>
              <w:t>3</w:t>
            </w:r>
          </w:p>
        </w:tc>
        <w:tc>
          <w:tcPr>
            <w:tcW w:w="1350" w:type="dxa"/>
          </w:tcPr>
          <w:p w14:paraId="13FBBA45" w14:textId="77777777" w:rsidR="00D959BF" w:rsidRPr="00D20D72" w:rsidRDefault="00D959BF" w:rsidP="00137F2F">
            <w:pPr>
              <w:widowControl w:val="0"/>
              <w:tabs>
                <w:tab w:val="left" w:pos="-1440"/>
                <w:tab w:val="left" w:pos="-720"/>
              </w:tabs>
              <w:suppressAutoHyphens/>
              <w:jc w:val="center"/>
              <w:rPr>
                <w:sz w:val="20"/>
                <w:szCs w:val="20"/>
              </w:rPr>
            </w:pPr>
            <w:r>
              <w:rPr>
                <w:sz w:val="20"/>
                <w:szCs w:val="20"/>
              </w:rPr>
              <w:t>3</w:t>
            </w:r>
          </w:p>
        </w:tc>
      </w:tr>
      <w:tr w:rsidR="00D959BF" w:rsidRPr="00D20D72" w14:paraId="5C67E00B" w14:textId="77777777" w:rsidTr="00137F2F">
        <w:tc>
          <w:tcPr>
            <w:tcW w:w="4822" w:type="dxa"/>
            <w:tcMar>
              <w:left w:w="58" w:type="dxa"/>
              <w:right w:w="58" w:type="dxa"/>
            </w:tcMar>
          </w:tcPr>
          <w:p w14:paraId="30B926B7" w14:textId="77777777" w:rsidR="00D959BF" w:rsidRPr="00D20D72" w:rsidRDefault="00D959BF" w:rsidP="00137F2F">
            <w:pPr>
              <w:widowControl w:val="0"/>
              <w:tabs>
                <w:tab w:val="left" w:pos="-1440"/>
                <w:tab w:val="left" w:pos="-720"/>
              </w:tabs>
              <w:suppressAutoHyphens/>
              <w:rPr>
                <w:sz w:val="20"/>
                <w:szCs w:val="20"/>
              </w:rPr>
            </w:pPr>
            <w:r>
              <w:rPr>
                <w:sz w:val="20"/>
                <w:szCs w:val="20"/>
              </w:rPr>
              <w:t>2. A</w:t>
            </w:r>
            <w:r w:rsidRPr="007F2DE1">
              <w:rPr>
                <w:sz w:val="20"/>
                <w:szCs w:val="20"/>
              </w:rPr>
              <w:t>bility to apply engineering design to produce solutions that meet specified needs with consideration of public health, safety, and welfare, as well as global, cultural, social, environmental, and economic factors</w:t>
            </w:r>
          </w:p>
        </w:tc>
        <w:tc>
          <w:tcPr>
            <w:tcW w:w="816" w:type="dxa"/>
          </w:tcPr>
          <w:p w14:paraId="4A0F1046" w14:textId="77777777" w:rsidR="00D959BF" w:rsidRPr="00D20D72" w:rsidRDefault="00D959BF" w:rsidP="00137F2F">
            <w:pPr>
              <w:widowControl w:val="0"/>
              <w:tabs>
                <w:tab w:val="left" w:pos="-1440"/>
                <w:tab w:val="left" w:pos="-720"/>
              </w:tabs>
              <w:suppressAutoHyphens/>
              <w:jc w:val="center"/>
              <w:rPr>
                <w:sz w:val="20"/>
                <w:szCs w:val="20"/>
              </w:rPr>
            </w:pPr>
          </w:p>
        </w:tc>
        <w:tc>
          <w:tcPr>
            <w:tcW w:w="810" w:type="dxa"/>
          </w:tcPr>
          <w:p w14:paraId="3EF02672" w14:textId="77777777" w:rsidR="00D959BF" w:rsidRPr="00D20D72" w:rsidRDefault="00D959BF" w:rsidP="00137F2F">
            <w:pPr>
              <w:widowControl w:val="0"/>
              <w:tabs>
                <w:tab w:val="left" w:pos="-1440"/>
                <w:tab w:val="left" w:pos="-720"/>
              </w:tabs>
              <w:suppressAutoHyphens/>
              <w:jc w:val="center"/>
              <w:rPr>
                <w:sz w:val="20"/>
                <w:szCs w:val="20"/>
              </w:rPr>
            </w:pPr>
            <w:r>
              <w:rPr>
                <w:sz w:val="20"/>
                <w:szCs w:val="20"/>
              </w:rPr>
              <w:t>1</w:t>
            </w:r>
          </w:p>
        </w:tc>
        <w:tc>
          <w:tcPr>
            <w:tcW w:w="810" w:type="dxa"/>
          </w:tcPr>
          <w:p w14:paraId="1DFFB52A" w14:textId="77777777" w:rsidR="00D959BF" w:rsidRPr="00D20D72" w:rsidRDefault="00D959BF" w:rsidP="00137F2F">
            <w:pPr>
              <w:widowControl w:val="0"/>
              <w:tabs>
                <w:tab w:val="left" w:pos="-1440"/>
                <w:tab w:val="left" w:pos="-720"/>
              </w:tabs>
              <w:suppressAutoHyphens/>
              <w:jc w:val="center"/>
              <w:rPr>
                <w:sz w:val="20"/>
                <w:szCs w:val="20"/>
              </w:rPr>
            </w:pPr>
          </w:p>
        </w:tc>
        <w:tc>
          <w:tcPr>
            <w:tcW w:w="950" w:type="dxa"/>
          </w:tcPr>
          <w:p w14:paraId="75D5C640" w14:textId="77777777" w:rsidR="00D959BF" w:rsidRPr="00D20D72" w:rsidRDefault="00D959BF" w:rsidP="00137F2F">
            <w:pPr>
              <w:widowControl w:val="0"/>
              <w:tabs>
                <w:tab w:val="left" w:pos="-1440"/>
                <w:tab w:val="left" w:pos="-720"/>
              </w:tabs>
              <w:suppressAutoHyphens/>
              <w:jc w:val="center"/>
              <w:rPr>
                <w:sz w:val="20"/>
                <w:szCs w:val="20"/>
              </w:rPr>
            </w:pPr>
            <w:r>
              <w:rPr>
                <w:sz w:val="20"/>
                <w:szCs w:val="20"/>
              </w:rPr>
              <w:t>1</w:t>
            </w:r>
          </w:p>
        </w:tc>
        <w:tc>
          <w:tcPr>
            <w:tcW w:w="1350" w:type="dxa"/>
          </w:tcPr>
          <w:p w14:paraId="252375B8" w14:textId="77777777" w:rsidR="00D959BF" w:rsidRPr="00D20D72" w:rsidRDefault="00D959BF" w:rsidP="00137F2F">
            <w:pPr>
              <w:widowControl w:val="0"/>
              <w:tabs>
                <w:tab w:val="left" w:pos="-1440"/>
                <w:tab w:val="left" w:pos="-720"/>
              </w:tabs>
              <w:suppressAutoHyphens/>
              <w:jc w:val="center"/>
              <w:rPr>
                <w:sz w:val="20"/>
                <w:szCs w:val="20"/>
              </w:rPr>
            </w:pPr>
            <w:r>
              <w:rPr>
                <w:sz w:val="20"/>
                <w:szCs w:val="20"/>
              </w:rPr>
              <w:t>1</w:t>
            </w:r>
          </w:p>
        </w:tc>
      </w:tr>
      <w:tr w:rsidR="00D959BF" w:rsidRPr="00D20D72" w14:paraId="08C35E2A" w14:textId="77777777" w:rsidTr="00137F2F">
        <w:tc>
          <w:tcPr>
            <w:tcW w:w="4822" w:type="dxa"/>
            <w:tcMar>
              <w:left w:w="58" w:type="dxa"/>
              <w:right w:w="58" w:type="dxa"/>
            </w:tcMar>
          </w:tcPr>
          <w:p w14:paraId="180AFBC9" w14:textId="77777777" w:rsidR="00D959BF" w:rsidRPr="00D20D72" w:rsidRDefault="00D959BF" w:rsidP="00137F2F">
            <w:pPr>
              <w:widowControl w:val="0"/>
              <w:tabs>
                <w:tab w:val="left" w:pos="-1440"/>
                <w:tab w:val="left" w:pos="-720"/>
              </w:tabs>
              <w:suppressAutoHyphens/>
              <w:rPr>
                <w:sz w:val="20"/>
                <w:szCs w:val="20"/>
              </w:rPr>
            </w:pPr>
            <w:r>
              <w:rPr>
                <w:sz w:val="20"/>
                <w:szCs w:val="20"/>
              </w:rPr>
              <w:t>3. A</w:t>
            </w:r>
            <w:r w:rsidRPr="007F2DE1">
              <w:rPr>
                <w:sz w:val="20"/>
                <w:szCs w:val="20"/>
              </w:rPr>
              <w:t>bility to communicate effectively with a range of audiences</w:t>
            </w:r>
          </w:p>
        </w:tc>
        <w:tc>
          <w:tcPr>
            <w:tcW w:w="816" w:type="dxa"/>
          </w:tcPr>
          <w:p w14:paraId="786A162C" w14:textId="77777777" w:rsidR="00D959BF" w:rsidRPr="00D20D72" w:rsidRDefault="00D959BF" w:rsidP="00137F2F">
            <w:pPr>
              <w:widowControl w:val="0"/>
              <w:tabs>
                <w:tab w:val="left" w:pos="-1440"/>
                <w:tab w:val="left" w:pos="-720"/>
              </w:tabs>
              <w:suppressAutoHyphens/>
              <w:jc w:val="center"/>
              <w:rPr>
                <w:sz w:val="20"/>
                <w:szCs w:val="20"/>
              </w:rPr>
            </w:pPr>
          </w:p>
        </w:tc>
        <w:tc>
          <w:tcPr>
            <w:tcW w:w="810" w:type="dxa"/>
          </w:tcPr>
          <w:p w14:paraId="18E1931E" w14:textId="77777777" w:rsidR="00D959BF" w:rsidRPr="00D20D72" w:rsidRDefault="00D959BF" w:rsidP="00137F2F">
            <w:pPr>
              <w:widowControl w:val="0"/>
              <w:tabs>
                <w:tab w:val="left" w:pos="-1440"/>
                <w:tab w:val="left" w:pos="-720"/>
              </w:tabs>
              <w:suppressAutoHyphens/>
              <w:jc w:val="center"/>
              <w:rPr>
                <w:sz w:val="20"/>
                <w:szCs w:val="20"/>
              </w:rPr>
            </w:pPr>
          </w:p>
        </w:tc>
        <w:tc>
          <w:tcPr>
            <w:tcW w:w="810" w:type="dxa"/>
          </w:tcPr>
          <w:p w14:paraId="20D5A690" w14:textId="77777777" w:rsidR="00D959BF" w:rsidRPr="00D20D72" w:rsidRDefault="00D959BF" w:rsidP="00137F2F">
            <w:pPr>
              <w:widowControl w:val="0"/>
              <w:tabs>
                <w:tab w:val="left" w:pos="-1440"/>
                <w:tab w:val="left" w:pos="-720"/>
              </w:tabs>
              <w:suppressAutoHyphens/>
              <w:jc w:val="center"/>
              <w:rPr>
                <w:sz w:val="20"/>
                <w:szCs w:val="20"/>
              </w:rPr>
            </w:pPr>
          </w:p>
        </w:tc>
        <w:tc>
          <w:tcPr>
            <w:tcW w:w="950" w:type="dxa"/>
          </w:tcPr>
          <w:p w14:paraId="3F63B2C9" w14:textId="77777777" w:rsidR="00D959BF" w:rsidRPr="00D20D72" w:rsidRDefault="00D959BF" w:rsidP="00137F2F">
            <w:pPr>
              <w:widowControl w:val="0"/>
              <w:tabs>
                <w:tab w:val="left" w:pos="-1440"/>
                <w:tab w:val="left" w:pos="-720"/>
              </w:tabs>
              <w:suppressAutoHyphens/>
              <w:jc w:val="center"/>
              <w:rPr>
                <w:sz w:val="20"/>
                <w:szCs w:val="20"/>
              </w:rPr>
            </w:pPr>
          </w:p>
        </w:tc>
        <w:tc>
          <w:tcPr>
            <w:tcW w:w="1350" w:type="dxa"/>
          </w:tcPr>
          <w:p w14:paraId="6ECEA601" w14:textId="77777777" w:rsidR="00D959BF" w:rsidRPr="00D20D72" w:rsidRDefault="00D959BF" w:rsidP="00137F2F">
            <w:pPr>
              <w:widowControl w:val="0"/>
              <w:tabs>
                <w:tab w:val="left" w:pos="-1440"/>
                <w:tab w:val="left" w:pos="-720"/>
              </w:tabs>
              <w:suppressAutoHyphens/>
              <w:jc w:val="center"/>
              <w:rPr>
                <w:sz w:val="20"/>
                <w:szCs w:val="20"/>
              </w:rPr>
            </w:pPr>
          </w:p>
        </w:tc>
      </w:tr>
      <w:tr w:rsidR="00D959BF" w:rsidRPr="00D20D72" w14:paraId="3922844B" w14:textId="77777777" w:rsidTr="00137F2F">
        <w:tc>
          <w:tcPr>
            <w:tcW w:w="4822" w:type="dxa"/>
            <w:tcMar>
              <w:left w:w="58" w:type="dxa"/>
              <w:right w:w="58" w:type="dxa"/>
            </w:tcMar>
          </w:tcPr>
          <w:p w14:paraId="4A003704" w14:textId="77777777" w:rsidR="00D959BF" w:rsidRPr="00D20D72" w:rsidRDefault="00D959BF" w:rsidP="00137F2F">
            <w:pPr>
              <w:widowControl w:val="0"/>
              <w:tabs>
                <w:tab w:val="left" w:pos="-1440"/>
                <w:tab w:val="left" w:pos="-720"/>
              </w:tabs>
              <w:suppressAutoHyphens/>
              <w:rPr>
                <w:sz w:val="20"/>
                <w:szCs w:val="20"/>
              </w:rPr>
            </w:pPr>
            <w:r>
              <w:rPr>
                <w:sz w:val="20"/>
                <w:szCs w:val="20"/>
              </w:rPr>
              <w:t xml:space="preserve">4. </w:t>
            </w:r>
            <w:r w:rsidRPr="007F2DE1">
              <w:rPr>
                <w:sz w:val="20"/>
                <w:szCs w:val="20"/>
              </w:rPr>
              <w:t>an ability to recognize ethical and professional responsibilities in engineering situations and make informed judgments, which must consider the impact of engineering solutions in global, economic, environmental, and societal contexts</w:t>
            </w:r>
          </w:p>
        </w:tc>
        <w:tc>
          <w:tcPr>
            <w:tcW w:w="816" w:type="dxa"/>
          </w:tcPr>
          <w:p w14:paraId="054B726B" w14:textId="77777777" w:rsidR="00D959BF" w:rsidRPr="00D20D72" w:rsidRDefault="00D959BF" w:rsidP="00137F2F">
            <w:pPr>
              <w:widowControl w:val="0"/>
              <w:tabs>
                <w:tab w:val="left" w:pos="-1440"/>
                <w:tab w:val="left" w:pos="-720"/>
              </w:tabs>
              <w:suppressAutoHyphens/>
              <w:jc w:val="center"/>
              <w:rPr>
                <w:sz w:val="20"/>
                <w:szCs w:val="20"/>
              </w:rPr>
            </w:pPr>
          </w:p>
        </w:tc>
        <w:tc>
          <w:tcPr>
            <w:tcW w:w="810" w:type="dxa"/>
          </w:tcPr>
          <w:p w14:paraId="3A711DCE" w14:textId="77777777" w:rsidR="00D959BF" w:rsidRPr="00D20D72" w:rsidRDefault="00D959BF" w:rsidP="00137F2F">
            <w:pPr>
              <w:widowControl w:val="0"/>
              <w:tabs>
                <w:tab w:val="left" w:pos="-1440"/>
                <w:tab w:val="left" w:pos="-720"/>
              </w:tabs>
              <w:suppressAutoHyphens/>
              <w:jc w:val="center"/>
              <w:rPr>
                <w:sz w:val="20"/>
                <w:szCs w:val="20"/>
              </w:rPr>
            </w:pPr>
          </w:p>
        </w:tc>
        <w:tc>
          <w:tcPr>
            <w:tcW w:w="810" w:type="dxa"/>
          </w:tcPr>
          <w:p w14:paraId="209144C0" w14:textId="77777777" w:rsidR="00D959BF" w:rsidRPr="00D20D72" w:rsidRDefault="00D959BF" w:rsidP="00137F2F">
            <w:pPr>
              <w:widowControl w:val="0"/>
              <w:tabs>
                <w:tab w:val="left" w:pos="-1440"/>
                <w:tab w:val="left" w:pos="-720"/>
              </w:tabs>
              <w:suppressAutoHyphens/>
              <w:jc w:val="center"/>
              <w:rPr>
                <w:sz w:val="20"/>
                <w:szCs w:val="20"/>
              </w:rPr>
            </w:pPr>
          </w:p>
        </w:tc>
        <w:tc>
          <w:tcPr>
            <w:tcW w:w="950" w:type="dxa"/>
          </w:tcPr>
          <w:p w14:paraId="00073639" w14:textId="77777777" w:rsidR="00D959BF" w:rsidRPr="00D20D72" w:rsidRDefault="00D959BF" w:rsidP="00137F2F">
            <w:pPr>
              <w:widowControl w:val="0"/>
              <w:tabs>
                <w:tab w:val="left" w:pos="-1440"/>
                <w:tab w:val="left" w:pos="-720"/>
              </w:tabs>
              <w:suppressAutoHyphens/>
              <w:jc w:val="center"/>
              <w:rPr>
                <w:sz w:val="20"/>
                <w:szCs w:val="20"/>
              </w:rPr>
            </w:pPr>
          </w:p>
        </w:tc>
        <w:tc>
          <w:tcPr>
            <w:tcW w:w="1350" w:type="dxa"/>
          </w:tcPr>
          <w:p w14:paraId="2FB7CC39" w14:textId="77777777" w:rsidR="00D959BF" w:rsidRPr="00D20D72" w:rsidRDefault="00D959BF" w:rsidP="00137F2F">
            <w:pPr>
              <w:widowControl w:val="0"/>
              <w:tabs>
                <w:tab w:val="left" w:pos="-1440"/>
                <w:tab w:val="left" w:pos="-720"/>
              </w:tabs>
              <w:suppressAutoHyphens/>
              <w:jc w:val="center"/>
              <w:rPr>
                <w:sz w:val="20"/>
                <w:szCs w:val="20"/>
              </w:rPr>
            </w:pPr>
          </w:p>
        </w:tc>
      </w:tr>
      <w:tr w:rsidR="00D959BF" w:rsidRPr="00D20D72" w14:paraId="11E12687" w14:textId="77777777" w:rsidTr="00137F2F">
        <w:tc>
          <w:tcPr>
            <w:tcW w:w="4822" w:type="dxa"/>
            <w:tcMar>
              <w:left w:w="58" w:type="dxa"/>
              <w:right w:w="58" w:type="dxa"/>
            </w:tcMar>
          </w:tcPr>
          <w:p w14:paraId="7C3A13B3" w14:textId="77777777" w:rsidR="00D959BF" w:rsidRPr="007F2DE1" w:rsidRDefault="00D959BF" w:rsidP="00137F2F">
            <w:pPr>
              <w:widowControl w:val="0"/>
              <w:tabs>
                <w:tab w:val="left" w:pos="-1440"/>
                <w:tab w:val="left" w:pos="-720"/>
              </w:tabs>
              <w:suppressAutoHyphens/>
              <w:rPr>
                <w:sz w:val="20"/>
                <w:szCs w:val="20"/>
              </w:rPr>
            </w:pPr>
            <w:r>
              <w:rPr>
                <w:sz w:val="20"/>
                <w:szCs w:val="20"/>
              </w:rPr>
              <w:t>5. A</w:t>
            </w:r>
            <w:r w:rsidRPr="007F2DE1">
              <w:rPr>
                <w:sz w:val="20"/>
                <w:szCs w:val="20"/>
              </w:rPr>
              <w:t>bility to function effectively on a team whose members together provide leadership, create a collaborative and inclusive environment, establish goals, plan tasks, and meet objectives</w:t>
            </w:r>
          </w:p>
        </w:tc>
        <w:tc>
          <w:tcPr>
            <w:tcW w:w="816" w:type="dxa"/>
          </w:tcPr>
          <w:p w14:paraId="5B12ADCA" w14:textId="77777777" w:rsidR="00D959BF" w:rsidRPr="00D20D72" w:rsidRDefault="00D959BF" w:rsidP="00137F2F">
            <w:pPr>
              <w:widowControl w:val="0"/>
              <w:tabs>
                <w:tab w:val="left" w:pos="-1440"/>
                <w:tab w:val="left" w:pos="-720"/>
              </w:tabs>
              <w:suppressAutoHyphens/>
              <w:jc w:val="center"/>
              <w:rPr>
                <w:sz w:val="20"/>
                <w:szCs w:val="20"/>
              </w:rPr>
            </w:pPr>
          </w:p>
        </w:tc>
        <w:tc>
          <w:tcPr>
            <w:tcW w:w="810" w:type="dxa"/>
          </w:tcPr>
          <w:p w14:paraId="76A210A5" w14:textId="77777777" w:rsidR="00D959BF" w:rsidRPr="00D20D72" w:rsidRDefault="00D959BF" w:rsidP="00137F2F">
            <w:pPr>
              <w:widowControl w:val="0"/>
              <w:tabs>
                <w:tab w:val="left" w:pos="-1440"/>
                <w:tab w:val="left" w:pos="-720"/>
              </w:tabs>
              <w:suppressAutoHyphens/>
              <w:jc w:val="center"/>
              <w:rPr>
                <w:sz w:val="20"/>
                <w:szCs w:val="20"/>
              </w:rPr>
            </w:pPr>
          </w:p>
        </w:tc>
        <w:tc>
          <w:tcPr>
            <w:tcW w:w="810" w:type="dxa"/>
          </w:tcPr>
          <w:p w14:paraId="42658A38" w14:textId="77777777" w:rsidR="00D959BF" w:rsidRPr="00D20D72" w:rsidRDefault="00D959BF" w:rsidP="00137F2F">
            <w:pPr>
              <w:widowControl w:val="0"/>
              <w:tabs>
                <w:tab w:val="left" w:pos="-1440"/>
                <w:tab w:val="left" w:pos="-720"/>
              </w:tabs>
              <w:suppressAutoHyphens/>
              <w:jc w:val="center"/>
              <w:rPr>
                <w:sz w:val="20"/>
                <w:szCs w:val="20"/>
              </w:rPr>
            </w:pPr>
          </w:p>
        </w:tc>
        <w:tc>
          <w:tcPr>
            <w:tcW w:w="950" w:type="dxa"/>
          </w:tcPr>
          <w:p w14:paraId="4C745EFC" w14:textId="77777777" w:rsidR="00D959BF" w:rsidRPr="00D20D72" w:rsidRDefault="00D959BF" w:rsidP="00137F2F">
            <w:pPr>
              <w:widowControl w:val="0"/>
              <w:tabs>
                <w:tab w:val="left" w:pos="-1440"/>
                <w:tab w:val="left" w:pos="-720"/>
              </w:tabs>
              <w:suppressAutoHyphens/>
              <w:jc w:val="center"/>
              <w:rPr>
                <w:sz w:val="20"/>
                <w:szCs w:val="20"/>
              </w:rPr>
            </w:pPr>
          </w:p>
        </w:tc>
        <w:tc>
          <w:tcPr>
            <w:tcW w:w="1350" w:type="dxa"/>
          </w:tcPr>
          <w:p w14:paraId="276CBED1" w14:textId="77777777" w:rsidR="00D959BF" w:rsidRPr="00D20D72" w:rsidRDefault="00D959BF" w:rsidP="00137F2F">
            <w:pPr>
              <w:widowControl w:val="0"/>
              <w:tabs>
                <w:tab w:val="left" w:pos="-1440"/>
                <w:tab w:val="left" w:pos="-720"/>
              </w:tabs>
              <w:suppressAutoHyphens/>
              <w:jc w:val="center"/>
              <w:rPr>
                <w:sz w:val="20"/>
                <w:szCs w:val="20"/>
              </w:rPr>
            </w:pPr>
          </w:p>
        </w:tc>
      </w:tr>
      <w:tr w:rsidR="00D959BF" w:rsidRPr="00D20D72" w14:paraId="2133CC3E" w14:textId="77777777" w:rsidTr="00137F2F">
        <w:tc>
          <w:tcPr>
            <w:tcW w:w="4822" w:type="dxa"/>
            <w:tcMar>
              <w:left w:w="58" w:type="dxa"/>
              <w:right w:w="58" w:type="dxa"/>
            </w:tcMar>
          </w:tcPr>
          <w:p w14:paraId="058FD147" w14:textId="77777777" w:rsidR="00D959BF" w:rsidRPr="00D20D72" w:rsidRDefault="00D959BF" w:rsidP="00137F2F">
            <w:pPr>
              <w:widowControl w:val="0"/>
              <w:tabs>
                <w:tab w:val="left" w:pos="-1440"/>
                <w:tab w:val="left" w:pos="-720"/>
              </w:tabs>
              <w:suppressAutoHyphens/>
              <w:rPr>
                <w:sz w:val="20"/>
                <w:szCs w:val="20"/>
              </w:rPr>
            </w:pPr>
            <w:r>
              <w:rPr>
                <w:sz w:val="20"/>
                <w:szCs w:val="20"/>
              </w:rPr>
              <w:t>6. A</w:t>
            </w:r>
            <w:r w:rsidRPr="007F2DE1">
              <w:rPr>
                <w:sz w:val="20"/>
                <w:szCs w:val="20"/>
              </w:rPr>
              <w:t>bility to develop and conduct appropriate experimentation, analyze and interpret data, and use engineering judgment to draw conclusions</w:t>
            </w:r>
          </w:p>
        </w:tc>
        <w:tc>
          <w:tcPr>
            <w:tcW w:w="816" w:type="dxa"/>
          </w:tcPr>
          <w:p w14:paraId="795C4829" w14:textId="77777777" w:rsidR="00D959BF" w:rsidRPr="00D20D72" w:rsidRDefault="00D959BF" w:rsidP="00137F2F">
            <w:pPr>
              <w:widowControl w:val="0"/>
              <w:tabs>
                <w:tab w:val="left" w:pos="-1440"/>
                <w:tab w:val="left" w:pos="-720"/>
              </w:tabs>
              <w:suppressAutoHyphens/>
              <w:jc w:val="center"/>
              <w:rPr>
                <w:sz w:val="20"/>
                <w:szCs w:val="20"/>
              </w:rPr>
            </w:pPr>
          </w:p>
        </w:tc>
        <w:tc>
          <w:tcPr>
            <w:tcW w:w="810" w:type="dxa"/>
          </w:tcPr>
          <w:p w14:paraId="64495603" w14:textId="77777777" w:rsidR="00D959BF" w:rsidRPr="00D20D72" w:rsidRDefault="00D959BF" w:rsidP="00137F2F">
            <w:pPr>
              <w:widowControl w:val="0"/>
              <w:tabs>
                <w:tab w:val="left" w:pos="-1440"/>
                <w:tab w:val="left" w:pos="-720"/>
              </w:tabs>
              <w:suppressAutoHyphens/>
              <w:jc w:val="center"/>
              <w:rPr>
                <w:sz w:val="20"/>
                <w:szCs w:val="20"/>
              </w:rPr>
            </w:pPr>
          </w:p>
        </w:tc>
        <w:tc>
          <w:tcPr>
            <w:tcW w:w="810" w:type="dxa"/>
          </w:tcPr>
          <w:p w14:paraId="6C759A83" w14:textId="77777777" w:rsidR="00D959BF" w:rsidRPr="00D20D72" w:rsidRDefault="00D959BF" w:rsidP="00137F2F">
            <w:pPr>
              <w:widowControl w:val="0"/>
              <w:tabs>
                <w:tab w:val="left" w:pos="-1440"/>
                <w:tab w:val="left" w:pos="-720"/>
              </w:tabs>
              <w:suppressAutoHyphens/>
              <w:jc w:val="center"/>
              <w:rPr>
                <w:sz w:val="20"/>
                <w:szCs w:val="20"/>
              </w:rPr>
            </w:pPr>
          </w:p>
        </w:tc>
        <w:tc>
          <w:tcPr>
            <w:tcW w:w="950" w:type="dxa"/>
          </w:tcPr>
          <w:p w14:paraId="76B5833B" w14:textId="77777777" w:rsidR="00D959BF" w:rsidRPr="00D20D72" w:rsidRDefault="00D959BF" w:rsidP="00137F2F">
            <w:pPr>
              <w:widowControl w:val="0"/>
              <w:tabs>
                <w:tab w:val="left" w:pos="-1440"/>
                <w:tab w:val="left" w:pos="-720"/>
              </w:tabs>
              <w:suppressAutoHyphens/>
              <w:jc w:val="center"/>
              <w:rPr>
                <w:sz w:val="20"/>
                <w:szCs w:val="20"/>
              </w:rPr>
            </w:pPr>
          </w:p>
        </w:tc>
        <w:tc>
          <w:tcPr>
            <w:tcW w:w="1350" w:type="dxa"/>
          </w:tcPr>
          <w:p w14:paraId="2C786126" w14:textId="77777777" w:rsidR="00D959BF" w:rsidRPr="00D20D72" w:rsidRDefault="00D959BF" w:rsidP="00137F2F">
            <w:pPr>
              <w:widowControl w:val="0"/>
              <w:tabs>
                <w:tab w:val="left" w:pos="-1440"/>
                <w:tab w:val="left" w:pos="-720"/>
              </w:tabs>
              <w:suppressAutoHyphens/>
              <w:jc w:val="center"/>
              <w:rPr>
                <w:sz w:val="20"/>
                <w:szCs w:val="20"/>
              </w:rPr>
            </w:pPr>
          </w:p>
        </w:tc>
      </w:tr>
      <w:tr w:rsidR="00D959BF" w:rsidRPr="00D20D72" w14:paraId="608AFA53" w14:textId="77777777" w:rsidTr="00137F2F">
        <w:tc>
          <w:tcPr>
            <w:tcW w:w="4822" w:type="dxa"/>
            <w:tcMar>
              <w:left w:w="58" w:type="dxa"/>
              <w:right w:w="58" w:type="dxa"/>
            </w:tcMar>
          </w:tcPr>
          <w:p w14:paraId="5B2F2D67" w14:textId="77777777" w:rsidR="00D959BF" w:rsidRPr="007F2DE1" w:rsidRDefault="00D959BF" w:rsidP="00137F2F">
            <w:pPr>
              <w:widowControl w:val="0"/>
              <w:tabs>
                <w:tab w:val="left" w:pos="-1440"/>
                <w:tab w:val="left" w:pos="-720"/>
              </w:tabs>
              <w:suppressAutoHyphens/>
              <w:rPr>
                <w:sz w:val="20"/>
                <w:szCs w:val="20"/>
              </w:rPr>
            </w:pPr>
            <w:r>
              <w:rPr>
                <w:sz w:val="20"/>
                <w:szCs w:val="20"/>
              </w:rPr>
              <w:t xml:space="preserve">7. </w:t>
            </w:r>
            <w:r w:rsidRPr="007F2DE1">
              <w:rPr>
                <w:sz w:val="20"/>
                <w:szCs w:val="20"/>
              </w:rPr>
              <w:t>Ability to acquire and apply new knowledge as needed, using appropriate learning strategies.</w:t>
            </w:r>
            <w:r w:rsidRPr="007F2DE1">
              <w:rPr>
                <w:rStyle w:val="apple-converted-space"/>
                <w:sz w:val="20"/>
                <w:szCs w:val="20"/>
              </w:rPr>
              <w:t> </w:t>
            </w:r>
          </w:p>
        </w:tc>
        <w:tc>
          <w:tcPr>
            <w:tcW w:w="816" w:type="dxa"/>
          </w:tcPr>
          <w:p w14:paraId="3BEDC22D" w14:textId="77777777" w:rsidR="00D959BF" w:rsidRPr="00D20D72" w:rsidRDefault="00D959BF" w:rsidP="00137F2F">
            <w:pPr>
              <w:widowControl w:val="0"/>
              <w:tabs>
                <w:tab w:val="left" w:pos="-1440"/>
                <w:tab w:val="left" w:pos="-720"/>
              </w:tabs>
              <w:suppressAutoHyphens/>
              <w:jc w:val="center"/>
              <w:rPr>
                <w:sz w:val="20"/>
                <w:szCs w:val="20"/>
              </w:rPr>
            </w:pPr>
          </w:p>
        </w:tc>
        <w:tc>
          <w:tcPr>
            <w:tcW w:w="810" w:type="dxa"/>
          </w:tcPr>
          <w:p w14:paraId="2B3F188F" w14:textId="77777777" w:rsidR="00D959BF" w:rsidRPr="00D20D72" w:rsidRDefault="00D959BF" w:rsidP="00137F2F">
            <w:pPr>
              <w:widowControl w:val="0"/>
              <w:tabs>
                <w:tab w:val="left" w:pos="-1440"/>
                <w:tab w:val="left" w:pos="-720"/>
              </w:tabs>
              <w:suppressAutoHyphens/>
              <w:jc w:val="center"/>
              <w:rPr>
                <w:sz w:val="20"/>
                <w:szCs w:val="20"/>
              </w:rPr>
            </w:pPr>
          </w:p>
        </w:tc>
        <w:tc>
          <w:tcPr>
            <w:tcW w:w="810" w:type="dxa"/>
          </w:tcPr>
          <w:p w14:paraId="2E9DE21E" w14:textId="77777777" w:rsidR="00D959BF" w:rsidRPr="00D20D72" w:rsidRDefault="00D959BF" w:rsidP="00137F2F">
            <w:pPr>
              <w:widowControl w:val="0"/>
              <w:tabs>
                <w:tab w:val="left" w:pos="-1440"/>
                <w:tab w:val="left" w:pos="-720"/>
              </w:tabs>
              <w:suppressAutoHyphens/>
              <w:jc w:val="center"/>
              <w:rPr>
                <w:sz w:val="20"/>
                <w:szCs w:val="20"/>
              </w:rPr>
            </w:pPr>
          </w:p>
        </w:tc>
        <w:tc>
          <w:tcPr>
            <w:tcW w:w="950" w:type="dxa"/>
          </w:tcPr>
          <w:p w14:paraId="79F86D44" w14:textId="77777777" w:rsidR="00D959BF" w:rsidRPr="00D20D72" w:rsidRDefault="00D959BF" w:rsidP="00137F2F">
            <w:pPr>
              <w:widowControl w:val="0"/>
              <w:tabs>
                <w:tab w:val="left" w:pos="-1440"/>
                <w:tab w:val="left" w:pos="-720"/>
              </w:tabs>
              <w:suppressAutoHyphens/>
              <w:jc w:val="center"/>
              <w:rPr>
                <w:sz w:val="20"/>
                <w:szCs w:val="20"/>
              </w:rPr>
            </w:pPr>
          </w:p>
        </w:tc>
        <w:tc>
          <w:tcPr>
            <w:tcW w:w="1350" w:type="dxa"/>
          </w:tcPr>
          <w:p w14:paraId="4A84B7C6" w14:textId="77777777" w:rsidR="00D959BF" w:rsidRPr="00D20D72" w:rsidRDefault="00D959BF" w:rsidP="00137F2F">
            <w:pPr>
              <w:widowControl w:val="0"/>
              <w:tabs>
                <w:tab w:val="left" w:pos="-1440"/>
                <w:tab w:val="left" w:pos="-720"/>
              </w:tabs>
              <w:suppressAutoHyphens/>
              <w:jc w:val="center"/>
              <w:rPr>
                <w:sz w:val="20"/>
                <w:szCs w:val="20"/>
              </w:rPr>
            </w:pPr>
          </w:p>
        </w:tc>
      </w:tr>
    </w:tbl>
    <w:p w14:paraId="2122D476" w14:textId="77777777" w:rsidR="006C527B" w:rsidRDefault="006C527B" w:rsidP="00D7799D">
      <w:pPr>
        <w:pStyle w:val="Syllabussectiontitle"/>
      </w:pPr>
    </w:p>
    <w:p w14:paraId="7D986561" w14:textId="77777777" w:rsidR="00D7799D" w:rsidRDefault="00D7799D" w:rsidP="00D7799D">
      <w:pPr>
        <w:pStyle w:val="Syllabussectiontitle"/>
      </w:pPr>
      <w:r w:rsidRPr="00DB3A97">
        <w:t>Brief list of topics to be covered</w:t>
      </w:r>
    </w:p>
    <w:p w14:paraId="5A763D10" w14:textId="77777777" w:rsidR="00D7799D" w:rsidRPr="00697A44" w:rsidRDefault="00D7799D" w:rsidP="00D7799D">
      <w:pPr>
        <w:pStyle w:val="Syllabusnumberedlistsnew"/>
        <w:numPr>
          <w:ilvl w:val="0"/>
          <w:numId w:val="2"/>
        </w:numPr>
      </w:pPr>
      <w:r w:rsidRPr="00697A44">
        <w:t>Introduction to chemical engineering calculations</w:t>
      </w:r>
    </w:p>
    <w:p w14:paraId="05116E5A" w14:textId="77777777" w:rsidR="00D7799D" w:rsidRPr="00697A44" w:rsidRDefault="00D7799D" w:rsidP="00D7799D">
      <w:pPr>
        <w:pStyle w:val="Syllabusnumberedlistsnew"/>
        <w:numPr>
          <w:ilvl w:val="0"/>
          <w:numId w:val="2"/>
        </w:numPr>
      </w:pPr>
      <w:r w:rsidRPr="00697A44">
        <w:t>Processes and process variables</w:t>
      </w:r>
    </w:p>
    <w:p w14:paraId="08C31684" w14:textId="77777777" w:rsidR="00D7799D" w:rsidRPr="00697A44" w:rsidRDefault="00D7799D" w:rsidP="00D7799D">
      <w:pPr>
        <w:pStyle w:val="Syllabusnumberedlistsnew"/>
        <w:numPr>
          <w:ilvl w:val="0"/>
          <w:numId w:val="2"/>
        </w:numPr>
      </w:pPr>
      <w:r w:rsidRPr="00697A44">
        <w:t>Fundamentals of material balances</w:t>
      </w:r>
    </w:p>
    <w:p w14:paraId="3F4372B0" w14:textId="77777777" w:rsidR="00D7799D" w:rsidRPr="00697A44" w:rsidRDefault="00D7799D" w:rsidP="00D7799D">
      <w:pPr>
        <w:pStyle w:val="Syllabusnumberedlistsnew"/>
        <w:numPr>
          <w:ilvl w:val="0"/>
          <w:numId w:val="2"/>
        </w:numPr>
      </w:pPr>
      <w:r w:rsidRPr="00697A44">
        <w:t>Material balances</w:t>
      </w:r>
    </w:p>
    <w:p w14:paraId="19938E46" w14:textId="77777777" w:rsidR="00D7799D" w:rsidRPr="00697A44" w:rsidRDefault="00D7799D" w:rsidP="00D7799D">
      <w:pPr>
        <w:pStyle w:val="Syllabusnumberedlistsnew"/>
        <w:numPr>
          <w:ilvl w:val="0"/>
          <w:numId w:val="2"/>
        </w:numPr>
      </w:pPr>
      <w:r w:rsidRPr="00697A44">
        <w:t>Single phase systems</w:t>
      </w:r>
    </w:p>
    <w:p w14:paraId="4CC5E015" w14:textId="77777777" w:rsidR="00D7799D" w:rsidRPr="00697A44" w:rsidRDefault="00D7799D" w:rsidP="00D7799D">
      <w:pPr>
        <w:pStyle w:val="Syllabusnumberedlistsnew"/>
        <w:numPr>
          <w:ilvl w:val="0"/>
          <w:numId w:val="2"/>
        </w:numPr>
      </w:pPr>
      <w:r w:rsidRPr="00697A44">
        <w:t>Multiphase systems</w:t>
      </w:r>
    </w:p>
    <w:p w14:paraId="5E325880" w14:textId="77777777" w:rsidR="00D7799D" w:rsidRPr="00697A44" w:rsidRDefault="00D7799D" w:rsidP="00D7799D">
      <w:pPr>
        <w:pStyle w:val="Syllabusnumberedlistsnew"/>
        <w:numPr>
          <w:ilvl w:val="0"/>
          <w:numId w:val="2"/>
        </w:numPr>
      </w:pPr>
      <w:r w:rsidRPr="00697A44">
        <w:t>Multicomponent systems</w:t>
      </w:r>
    </w:p>
    <w:p w14:paraId="4C79FC4B" w14:textId="77777777" w:rsidR="00D7799D" w:rsidRPr="00697A44" w:rsidRDefault="00D7799D" w:rsidP="00D7799D">
      <w:pPr>
        <w:pStyle w:val="Syllabusnumberedlistsnew"/>
        <w:numPr>
          <w:ilvl w:val="0"/>
          <w:numId w:val="2"/>
        </w:numPr>
      </w:pPr>
      <w:r w:rsidRPr="00697A44">
        <w:t>Energy and energy balances</w:t>
      </w:r>
    </w:p>
    <w:p w14:paraId="7ED0A242" w14:textId="77777777" w:rsidR="00D7799D" w:rsidRPr="00697A44" w:rsidRDefault="00D7799D" w:rsidP="00D7799D">
      <w:pPr>
        <w:pStyle w:val="Syllabusnumberedlistsnew"/>
        <w:numPr>
          <w:ilvl w:val="0"/>
          <w:numId w:val="2"/>
        </w:numPr>
      </w:pPr>
      <w:r w:rsidRPr="00697A44">
        <w:t>Energy balances on nonreactive processes</w:t>
      </w:r>
    </w:p>
    <w:p w14:paraId="24EDB617" w14:textId="77777777" w:rsidR="00D7799D" w:rsidRPr="00697A44" w:rsidRDefault="00D7799D" w:rsidP="00D7799D">
      <w:pPr>
        <w:pStyle w:val="Syllabusnumberedlistsnew"/>
        <w:numPr>
          <w:ilvl w:val="0"/>
          <w:numId w:val="2"/>
        </w:numPr>
      </w:pPr>
      <w:r w:rsidRPr="00697A44">
        <w:t>Phase change operations</w:t>
      </w:r>
    </w:p>
    <w:p w14:paraId="4E6F4A6D" w14:textId="77777777" w:rsidR="00D7799D" w:rsidRPr="00697A44" w:rsidRDefault="00D7799D" w:rsidP="00D7799D">
      <w:pPr>
        <w:pStyle w:val="Syllabusnumberedlistsnew"/>
        <w:numPr>
          <w:ilvl w:val="0"/>
          <w:numId w:val="2"/>
        </w:numPr>
      </w:pPr>
      <w:r w:rsidRPr="00697A44">
        <w:t>Energy balances on reactive processes</w:t>
      </w:r>
    </w:p>
    <w:p w14:paraId="1E8708AC" w14:textId="77777777" w:rsidR="00BF01C0" w:rsidRDefault="00BF01C0"/>
    <w:sectPr w:rsidR="00BF01C0" w:rsidSect="0043748B">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C22B3"/>
    <w:multiLevelType w:val="hybridMultilevel"/>
    <w:tmpl w:val="1270C362"/>
    <w:lvl w:ilvl="0" w:tplc="63343DE6">
      <w:start w:val="1"/>
      <w:numFmt w:val="decimal"/>
      <w:pStyle w:val="Syllabusnumberedlistsnew"/>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99D"/>
    <w:rsid w:val="003A1836"/>
    <w:rsid w:val="0043748B"/>
    <w:rsid w:val="00663ECF"/>
    <w:rsid w:val="006C527B"/>
    <w:rsid w:val="00BF01C0"/>
    <w:rsid w:val="00D7799D"/>
    <w:rsid w:val="00D959BF"/>
    <w:rsid w:val="00F30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9653A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7799D"/>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usnumberedlistsnew">
    <w:name w:val="Syllabus numbered lists new"/>
    <w:basedOn w:val="Normal"/>
    <w:qFormat/>
    <w:rsid w:val="00D7799D"/>
    <w:pPr>
      <w:widowControl w:val="0"/>
      <w:numPr>
        <w:numId w:val="1"/>
      </w:numPr>
    </w:pPr>
  </w:style>
  <w:style w:type="paragraph" w:customStyle="1" w:styleId="Syllabussectiontitle">
    <w:name w:val="Syllabus section title"/>
    <w:basedOn w:val="Normal"/>
    <w:next w:val="Syllabustext"/>
    <w:link w:val="SyllabussectiontitleChar"/>
    <w:rsid w:val="00D7799D"/>
    <w:pPr>
      <w:widowControl w:val="0"/>
      <w:tabs>
        <w:tab w:val="left" w:pos="0"/>
      </w:tabs>
      <w:suppressAutoHyphens/>
      <w:spacing w:before="120"/>
    </w:pPr>
    <w:rPr>
      <w:b/>
      <w:szCs w:val="20"/>
    </w:rPr>
  </w:style>
  <w:style w:type="character" w:customStyle="1" w:styleId="SyllabussectiontitleChar">
    <w:name w:val="Syllabus section title Char"/>
    <w:link w:val="Syllabussectiontitle"/>
    <w:rsid w:val="00D7799D"/>
    <w:rPr>
      <w:rFonts w:ascii="Times New Roman" w:eastAsia="Times New Roman" w:hAnsi="Times New Roman" w:cs="Times New Roman"/>
      <w:b/>
      <w:szCs w:val="20"/>
      <w:lang w:eastAsia="en-US"/>
    </w:rPr>
  </w:style>
  <w:style w:type="paragraph" w:customStyle="1" w:styleId="Syllabusname">
    <w:name w:val="Syllabus name"/>
    <w:basedOn w:val="Normal"/>
    <w:next w:val="Syllabussectiontitle"/>
    <w:link w:val="SyllabusnameChar"/>
    <w:rsid w:val="00D7799D"/>
    <w:pPr>
      <w:keepNext/>
      <w:spacing w:after="120"/>
      <w:jc w:val="center"/>
      <w:outlineLvl w:val="1"/>
    </w:pPr>
    <w:rPr>
      <w:rFonts w:cs="Arial"/>
      <w:b/>
      <w:bCs/>
      <w:i/>
      <w:iCs/>
      <w:szCs w:val="28"/>
    </w:rPr>
  </w:style>
  <w:style w:type="character" w:customStyle="1" w:styleId="SyllabusnameChar">
    <w:name w:val="Syllabus name Char"/>
    <w:basedOn w:val="DefaultParagraphFont"/>
    <w:link w:val="Syllabusname"/>
    <w:rsid w:val="00D7799D"/>
    <w:rPr>
      <w:rFonts w:ascii="Times New Roman" w:eastAsia="Times New Roman" w:hAnsi="Times New Roman" w:cs="Arial"/>
      <w:b/>
      <w:bCs/>
      <w:i/>
      <w:iCs/>
      <w:szCs w:val="28"/>
      <w:lang w:eastAsia="en-US"/>
    </w:rPr>
  </w:style>
  <w:style w:type="paragraph" w:customStyle="1" w:styleId="Syllabustext">
    <w:name w:val="Syllabus text"/>
    <w:basedOn w:val="Normal"/>
    <w:link w:val="SyllabustextChar"/>
    <w:rsid w:val="00D7799D"/>
    <w:pPr>
      <w:widowControl w:val="0"/>
    </w:pPr>
  </w:style>
  <w:style w:type="character" w:customStyle="1" w:styleId="SyllabustextChar">
    <w:name w:val="Syllabus text Char"/>
    <w:link w:val="Syllabustext"/>
    <w:rsid w:val="00D7799D"/>
    <w:rPr>
      <w:rFonts w:ascii="Times New Roman" w:eastAsia="Times New Roman" w:hAnsi="Times New Roman" w:cs="Times New Roman"/>
      <w:lang w:eastAsia="en-US"/>
    </w:rPr>
  </w:style>
  <w:style w:type="paragraph" w:customStyle="1" w:styleId="Syllabussubsectiontitle">
    <w:name w:val="Syllabus subsection title"/>
    <w:basedOn w:val="Syllabustext"/>
    <w:next w:val="Syllabustext"/>
    <w:autoRedefine/>
    <w:rsid w:val="00D7799D"/>
    <w:rPr>
      <w:i/>
    </w:rPr>
  </w:style>
  <w:style w:type="character" w:customStyle="1" w:styleId="apple-converted-space">
    <w:name w:val="apple-converted-space"/>
    <w:basedOn w:val="DefaultParagraphFont"/>
    <w:rsid w:val="00D95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588</Words>
  <Characters>3353</Characters>
  <Application>Microsoft Office Word</Application>
  <DocSecurity>0</DocSecurity>
  <Lines>27</Lines>
  <Paragraphs>7</Paragraphs>
  <ScaleCrop>false</ScaleCrop>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Williams</dc:creator>
  <cp:keywords/>
  <dc:description/>
  <cp:lastModifiedBy>Williams, Chris</cp:lastModifiedBy>
  <cp:revision>2</cp:revision>
  <dcterms:created xsi:type="dcterms:W3CDTF">2021-08-03T22:37:00Z</dcterms:created>
  <dcterms:modified xsi:type="dcterms:W3CDTF">2021-08-03T22:37:00Z</dcterms:modified>
</cp:coreProperties>
</file>